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B4" w:rsidRPr="00E71692" w:rsidRDefault="00E71692" w:rsidP="00F14174">
      <w:pPr>
        <w:spacing w:after="0" w:line="240" w:lineRule="auto"/>
        <w:contextualSpacing/>
        <w:jc w:val="left"/>
        <w:rPr>
          <w:rFonts w:ascii="Century Gothic" w:eastAsia="Times New Roman" w:hAnsi="Century Gothic" w:cs="Times New Roman"/>
          <w:spacing w:val="-10"/>
          <w:sz w:val="48"/>
          <w:szCs w:val="56"/>
          <w:lang w:eastAsia="ja-JP"/>
        </w:rPr>
      </w:pPr>
      <w:r w:rsidRPr="00E71692">
        <w:rPr>
          <w:rStyle w:val="TitleChar"/>
          <w:sz w:val="56"/>
        </w:rPr>
        <w:t>FAA-AHCA MMA Ambulance Reimbursement Discussion</w:t>
      </w:r>
      <w:r w:rsidR="006920B4" w:rsidRPr="00E71692">
        <w:rPr>
          <w:rStyle w:val="TitleChar"/>
          <w:sz w:val="56"/>
        </w:rPr>
        <w:t xml:space="preserve"> </w:t>
      </w:r>
    </w:p>
    <w:p w:rsidR="006920B4" w:rsidRPr="006920B4" w:rsidRDefault="006920B4" w:rsidP="006920B4">
      <w:pPr>
        <w:pBdr>
          <w:top w:val="single" w:sz="4" w:space="1" w:color="444D26"/>
        </w:pBdr>
        <w:jc w:val="center"/>
        <w:rPr>
          <w:rFonts w:ascii="Palatino Linotype" w:eastAsia="Times New Roman" w:hAnsi="Palatino Linotype" w:cs="Times New Roman"/>
          <w:lang w:eastAsia="ja-JP"/>
        </w:rPr>
      </w:pPr>
      <w:r w:rsidRPr="006920B4">
        <w:rPr>
          <w:rFonts w:ascii="Palatino Linotype" w:eastAsia="Times New Roman" w:hAnsi="Palatino Linotype" w:cs="Times New Roman"/>
          <w:lang w:eastAsia="ja-JP"/>
        </w:rPr>
        <w:t xml:space="preserve"> </w:t>
      </w:r>
      <w:sdt>
        <w:sdtPr>
          <w:rPr>
            <w:rFonts w:ascii="Palatino Linotype" w:eastAsia="Times New Roman" w:hAnsi="Palatino Linotype" w:cs="Times New Roman"/>
            <w:lang w:eastAsia="ja-JP"/>
          </w:rPr>
          <w:id w:val="-845941156"/>
          <w:placeholder>
            <w:docPart w:val="A1F59BF4D9F543378603E9E56B1FC694"/>
          </w:placeholder>
          <w15:appearance w15:val="hidden"/>
        </w:sdtPr>
        <w:sdtEndPr/>
        <w:sdtContent>
          <w:r w:rsidRPr="006920B4">
            <w:rPr>
              <w:rFonts w:ascii="Palatino Linotype" w:eastAsia="Times New Roman" w:hAnsi="Palatino Linotype" w:cs="Times New Roman"/>
              <w:lang w:eastAsia="ja-JP"/>
            </w:rPr>
            <w:t xml:space="preserve"> Meeting Minutes | December 15, 2015 | Largo, Florida </w:t>
          </w:r>
        </w:sdtContent>
      </w:sdt>
    </w:p>
    <w:p w:rsidR="006920B4" w:rsidRPr="006920B4" w:rsidRDefault="006920B4" w:rsidP="00B16E14">
      <w:pPr>
        <w:pStyle w:val="Heading1"/>
        <w:rPr>
          <w:rFonts w:eastAsia="Times New Roman"/>
          <w:lang w:eastAsia="ja-JP"/>
        </w:rPr>
      </w:pPr>
      <w:r w:rsidRPr="006920B4">
        <w:rPr>
          <w:rFonts w:eastAsia="Times New Roman"/>
          <w:lang w:eastAsia="ja-JP"/>
        </w:rPr>
        <w:t xml:space="preserve">President’s </w:t>
      </w:r>
      <w:r>
        <w:rPr>
          <w:rFonts w:eastAsia="Times New Roman"/>
          <w:lang w:eastAsia="ja-JP"/>
        </w:rPr>
        <w:t>Welcome</w:t>
      </w:r>
      <w:r w:rsidR="009660A3">
        <w:rPr>
          <w:rFonts w:eastAsia="Times New Roman"/>
          <w:lang w:eastAsia="ja-JP"/>
        </w:rPr>
        <w:t xml:space="preserve"> &amp; Introductions</w:t>
      </w:r>
    </w:p>
    <w:p w:rsidR="00F14174" w:rsidRPr="00F14174" w:rsidRDefault="006920B4" w:rsidP="00B16E14">
      <w:pPr>
        <w:contextualSpacing/>
        <w:rPr>
          <w:rStyle w:val="SubtleEmphasis"/>
        </w:rPr>
      </w:pPr>
      <w:r w:rsidRPr="00091249">
        <w:rPr>
          <w:rStyle w:val="SubtleEmphasis"/>
        </w:rPr>
        <w:t xml:space="preserve">Florida Ambulance Association President, Alan Skavroneck </w:t>
      </w:r>
    </w:p>
    <w:p w:rsidR="00F14174" w:rsidRDefault="00F14174" w:rsidP="00F14174">
      <w:pPr>
        <w:pStyle w:val="Heading1"/>
        <w:rPr>
          <w:rStyle w:val="SubtleEmphasis"/>
          <w:i w:val="0"/>
        </w:rPr>
      </w:pPr>
      <w:r>
        <w:rPr>
          <w:rStyle w:val="SubtleEmphasis"/>
          <w:i w:val="0"/>
        </w:rPr>
        <w:t>Central Issue/Impetus for Meeting</w:t>
      </w:r>
    </w:p>
    <w:p w:rsidR="00921F7D" w:rsidRDefault="00F14174" w:rsidP="00F14174">
      <w:r>
        <w:t xml:space="preserve">Following the implementation of the SMMC program, ambulance services have experienced ongoing difficulty receiving timely, fair reimbursement for transportation provided to patients. </w:t>
      </w:r>
    </w:p>
    <w:p w:rsidR="00921F7D" w:rsidRDefault="00F14174" w:rsidP="00921F7D">
      <w:pPr>
        <w:pStyle w:val="ListParagraph"/>
        <w:numPr>
          <w:ilvl w:val="0"/>
          <w:numId w:val="16"/>
        </w:numPr>
      </w:pPr>
      <w:r>
        <w:t>FAA members present in the room for the meeting alone were owed more than $12,000,000 collectively</w:t>
      </w:r>
      <w:r w:rsidR="00921F7D">
        <w:t>.</w:t>
      </w:r>
    </w:p>
    <w:p w:rsidR="00F14174" w:rsidRDefault="00921F7D" w:rsidP="00921F7D">
      <w:pPr>
        <w:pStyle w:val="ListParagraph"/>
        <w:numPr>
          <w:ilvl w:val="0"/>
          <w:numId w:val="16"/>
        </w:numPr>
      </w:pPr>
      <w:r>
        <w:t>S</w:t>
      </w:r>
      <w:r w:rsidR="00F14174">
        <w:t xml:space="preserve">ome claims </w:t>
      </w:r>
      <w:r>
        <w:t>have been repeatedly</w:t>
      </w:r>
      <w:r w:rsidR="00F14174">
        <w:t xml:space="preserve"> denied </w:t>
      </w:r>
      <w:r>
        <w:t xml:space="preserve">without cause </w:t>
      </w:r>
      <w:r w:rsidR="00F14174">
        <w:t>since 2014.</w:t>
      </w:r>
    </w:p>
    <w:p w:rsidR="00426864" w:rsidRPr="00F14174" w:rsidRDefault="00426864" w:rsidP="00921F7D">
      <w:pPr>
        <w:pStyle w:val="ListParagraph"/>
        <w:numPr>
          <w:ilvl w:val="0"/>
          <w:numId w:val="16"/>
        </w:numPr>
      </w:pPr>
      <w:r>
        <w:t>This is not a greed issue—hospitals and brokers call ambulance services for transport, not vice versa. Ambulance services need to be fairly reimbursed in order to continue operations.</w:t>
      </w:r>
    </w:p>
    <w:p w:rsidR="00C8473A" w:rsidRDefault="00C8473A" w:rsidP="003F3BF8">
      <w:pPr>
        <w:pStyle w:val="Heading1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 xml:space="preserve">AHCA Update </w:t>
      </w:r>
      <w:r w:rsidRPr="003F3BF8">
        <w:t>(</w:t>
      </w:r>
      <w:hyperlink r:id="rId8" w:history="1">
        <w:r w:rsidRPr="003F3BF8">
          <w:rPr>
            <w:rStyle w:val="Hyperlink"/>
          </w:rPr>
          <w:t>Slide Deck</w:t>
        </w:r>
      </w:hyperlink>
      <w:r w:rsidRPr="003F3BF8">
        <w:t>)</w:t>
      </w:r>
    </w:p>
    <w:p w:rsidR="00C8473A" w:rsidRPr="00C8473A" w:rsidRDefault="00C8473A" w:rsidP="00C8473A">
      <w:pPr>
        <w:rPr>
          <w:i/>
          <w:lang w:eastAsia="ja-JP"/>
        </w:rPr>
      </w:pPr>
      <w:r w:rsidRPr="00C8473A">
        <w:rPr>
          <w:i/>
          <w:lang w:eastAsia="ja-JP"/>
        </w:rPr>
        <w:t>David Rogers, Assistant Deputy Secretary for Medicaid Operations at the Florida Agency for Healthcare Administration</w:t>
      </w:r>
    </w:p>
    <w:p w:rsidR="00C8473A" w:rsidRDefault="00E6042E" w:rsidP="00C8473A">
      <w:pPr>
        <w:pStyle w:val="Heading3"/>
      </w:pPr>
      <w:r w:rsidRPr="00C8473A">
        <w:rPr>
          <w:rFonts w:eastAsia="Times New Roman"/>
          <w:lang w:eastAsia="ja-JP"/>
        </w:rPr>
        <w:t xml:space="preserve">Statewide Medicaid Managed Care </w:t>
      </w:r>
      <w:r w:rsidR="00C8473A">
        <w:rPr>
          <w:rFonts w:eastAsia="Times New Roman"/>
          <w:lang w:eastAsia="ja-JP"/>
        </w:rPr>
        <w:t>(SMMC) Update</w:t>
      </w:r>
    </w:p>
    <w:p w:rsidR="00E6042E" w:rsidRDefault="00C8473A" w:rsidP="00C25832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At one year post-implementation, patient access to care as well as HEDIS quality measures are at their best levels in history</w:t>
      </w:r>
      <w:r w:rsidR="00CF76EB">
        <w:rPr>
          <w:rFonts w:ascii="Palatino Linotype" w:hAnsi="Palatino Linotype"/>
        </w:rPr>
        <w:t>.</w:t>
      </w:r>
    </w:p>
    <w:p w:rsidR="00C8473A" w:rsidRDefault="00C8473A" w:rsidP="00C25832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The cost per beneficiary is decreasing</w:t>
      </w:r>
      <w:r w:rsidR="00CF76EB">
        <w:rPr>
          <w:rFonts w:ascii="Palatino Linotype" w:hAnsi="Palatino Linotype"/>
        </w:rPr>
        <w:t>.</w:t>
      </w:r>
    </w:p>
    <w:p w:rsidR="00C8473A" w:rsidRDefault="00C25832" w:rsidP="00C25832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Participation by doctors and dentists is up</w:t>
      </w:r>
      <w:r w:rsidR="00CF76EB">
        <w:rPr>
          <w:rFonts w:ascii="Palatino Linotype" w:hAnsi="Palatino Linotype"/>
        </w:rPr>
        <w:t>.</w:t>
      </w:r>
    </w:p>
    <w:p w:rsidR="00C25832" w:rsidRPr="00C25832" w:rsidRDefault="00C25832" w:rsidP="00C25832">
      <w:pPr>
        <w:pStyle w:val="Heading3"/>
      </w:pPr>
      <w:r>
        <w:t>Streamlined Credentialing (for Providers)</w:t>
      </w:r>
    </w:p>
    <w:p w:rsidR="00C25832" w:rsidRPr="00C25832" w:rsidRDefault="00C25832" w:rsidP="00C25832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New this month, providers seeking to participate in a health plan can complete a shortened Limited Enrollment provider application. This eliminates the need for providers to undergo basic screens in order to participate in each health plan.</w:t>
      </w:r>
    </w:p>
    <w:p w:rsidR="00C25832" w:rsidRDefault="00C25832" w:rsidP="00C25832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Limited Enrollment results in the issuing of a Medicaid Provider ID, which is required for health plan contracting</w:t>
      </w:r>
    </w:p>
    <w:p w:rsidR="00C25832" w:rsidRDefault="00C25832" w:rsidP="00C25832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Completing a Limited Enrollment application does not guarantee acceptance by any plan—health plans are encouraged to have higher minimum standards.</w:t>
      </w:r>
    </w:p>
    <w:p w:rsidR="00C25832" w:rsidRDefault="00C25832" w:rsidP="00C25832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Fee-for-service providers must complete traditional Full Enrollment in order to directly bill Medicaid.</w:t>
      </w:r>
    </w:p>
    <w:p w:rsidR="00C25832" w:rsidRPr="00C25832" w:rsidRDefault="00C25832" w:rsidP="00C25832">
      <w:pPr>
        <w:pStyle w:val="Heading3"/>
      </w:pPr>
      <w:r>
        <w:t>Express Enrollment (for Beneficiaries)</w:t>
      </w:r>
    </w:p>
    <w:p w:rsidR="00C06A2F" w:rsidRDefault="00C25832" w:rsidP="00C06A2F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Effective January 2016, Medicaid recipients can chose to select their health plan at the time of Medicaid enrollment. This will create a streamlined process whereby beneficiaries are immediately enrollment in a plan upon approval for Medicaid.</w:t>
      </w:r>
    </w:p>
    <w:p w:rsidR="00C06A2F" w:rsidRDefault="00C06A2F" w:rsidP="00C06A2F">
      <w:pPr>
        <w:pStyle w:val="Heading3"/>
      </w:pPr>
      <w:r>
        <w:t>Medicaid Coverage Policies Update</w:t>
      </w:r>
    </w:p>
    <w:p w:rsidR="00C06A2F" w:rsidRDefault="00C06A2F" w:rsidP="00C06A2F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Upon review of Medicaid-related rules, it was determined that a majority require update.</w:t>
      </w:r>
    </w:p>
    <w:p w:rsidR="00C06A2F" w:rsidRDefault="00C06A2F" w:rsidP="00C06A2F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The goal is to align coverage policies with the SMMC implementation.</w:t>
      </w:r>
    </w:p>
    <w:p w:rsidR="00D15E64" w:rsidRPr="00C06A2F" w:rsidRDefault="00BF2ED8" w:rsidP="00C06A2F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C06A2F">
        <w:rPr>
          <w:rFonts w:ascii="Palatino Linotype" w:hAnsi="Palatino Linotype"/>
        </w:rPr>
        <w:t>Health plans are required to comply with all amount, frequency, duration, and scope requirements in the coverage and limitations handbooks.</w:t>
      </w:r>
    </w:p>
    <w:p w:rsidR="00D15E64" w:rsidRDefault="00C06A2F" w:rsidP="00D15E64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The new Transportation Coverage Policy</w:t>
      </w:r>
    </w:p>
    <w:p w:rsidR="00C06A2F" w:rsidRDefault="00C06A2F" w:rsidP="00C06A2F">
      <w:pPr>
        <w:pStyle w:val="ListParagraph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Service specific (vs provider-specific)</w:t>
      </w:r>
    </w:p>
    <w:p w:rsidR="00C06A2F" w:rsidRDefault="00C06A2F" w:rsidP="00C06A2F">
      <w:pPr>
        <w:pStyle w:val="ListParagraph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Authorization is handled by the health plan/brokers or Agency vendors (not Medicaid Area Offices)</w:t>
      </w:r>
    </w:p>
    <w:p w:rsidR="00C06A2F" w:rsidRPr="00D15E64" w:rsidRDefault="00C06A2F" w:rsidP="00C06A2F">
      <w:pPr>
        <w:pStyle w:val="ListParagraph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Reimbursement rates are negotiated in contracts with the health plans/brokers or Agency vendors (not on a fee schedule)</w:t>
      </w:r>
    </w:p>
    <w:p w:rsidR="00BF2ED8" w:rsidRPr="000517E5" w:rsidRDefault="004F3DB2" w:rsidP="000517E5">
      <w:pPr>
        <w:pStyle w:val="Heading3"/>
      </w:pPr>
      <w:r w:rsidRPr="000517E5">
        <w:t>Centralized Complaint Process</w:t>
      </w:r>
    </w:p>
    <w:p w:rsidR="004F3DB2" w:rsidRDefault="000517E5" w:rsidP="000517E5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 order for AHCA to better address </w:t>
      </w:r>
      <w:r w:rsidR="00D44120">
        <w:rPr>
          <w:rFonts w:ascii="Palatino Linotype" w:hAnsi="Palatino Linotype"/>
        </w:rPr>
        <w:t>issues as well as track trends</w:t>
      </w:r>
      <w:r>
        <w:rPr>
          <w:rFonts w:ascii="Palatino Linotype" w:hAnsi="Palatino Linotype"/>
        </w:rPr>
        <w:t>, complaint handling has been centralized to Fort</w:t>
      </w:r>
      <w:r w:rsidR="004F3DB2" w:rsidRPr="004F3DB2">
        <w:rPr>
          <w:rFonts w:ascii="Palatino Linotype" w:hAnsi="Palatino Linotype"/>
        </w:rPr>
        <w:t xml:space="preserve"> Meyers</w:t>
      </w:r>
      <w:r>
        <w:rPr>
          <w:rFonts w:ascii="Palatino Linotype" w:hAnsi="Palatino Linotype"/>
        </w:rPr>
        <w:t>.</w:t>
      </w:r>
    </w:p>
    <w:p w:rsidR="00D44120" w:rsidRDefault="00D44120" w:rsidP="00D44120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The main purpose of the complaint-handling staff is to ensure that health plans are compliant with their contractual obligations.</w:t>
      </w:r>
    </w:p>
    <w:p w:rsidR="00E6042E" w:rsidRDefault="00D44120" w:rsidP="00D44120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Provider payments is currently the top complaint topic.</w:t>
      </w:r>
    </w:p>
    <w:p w:rsidR="003F3BF8" w:rsidRDefault="008F75C1" w:rsidP="003F3BF8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Beneficiaries are encouraged to submit complaints by phone, providers via the web at </w:t>
      </w:r>
      <w:hyperlink r:id="rId9" w:history="1">
        <w:r w:rsidRPr="008F75C1">
          <w:rPr>
            <w:rStyle w:val="Hyperlink"/>
            <w:rFonts w:ascii="Palatino Linotype" w:hAnsi="Palatino Linotype"/>
          </w:rPr>
          <w:t>http://ahca.myflorida.com/smmc</w:t>
        </w:r>
      </w:hyperlink>
      <w:r>
        <w:rPr>
          <w:rFonts w:ascii="Palatino Linotype" w:hAnsi="Palatino Linotype"/>
        </w:rPr>
        <w:t>.</w:t>
      </w:r>
    </w:p>
    <w:p w:rsidR="003F3BF8" w:rsidRDefault="003F3BF8" w:rsidP="00740CB4">
      <w:pPr>
        <w:pStyle w:val="Heading1"/>
        <w:jc w:val="left"/>
      </w:pPr>
      <w:r>
        <w:t>Differentiation Between Ambulance and Non-Emergency Transportation (NET)</w:t>
      </w:r>
    </w:p>
    <w:p w:rsidR="003F3BF8" w:rsidRDefault="003F3BF8" w:rsidP="003F3BF8">
      <w:pPr>
        <w:pStyle w:val="ListParagraph"/>
        <w:numPr>
          <w:ilvl w:val="0"/>
          <w:numId w:val="11"/>
        </w:numPr>
      </w:pPr>
      <w:r>
        <w:t>Ambulances transport patients, NET transports passengers</w:t>
      </w:r>
      <w:r w:rsidR="00A350D5">
        <w:t>.</w:t>
      </w:r>
    </w:p>
    <w:p w:rsidR="00D822AE" w:rsidRDefault="00A350D5" w:rsidP="00D822AE">
      <w:pPr>
        <w:pStyle w:val="ListParagraph"/>
        <w:numPr>
          <w:ilvl w:val="1"/>
          <w:numId w:val="11"/>
        </w:numPr>
      </w:pPr>
      <w:r>
        <w:t>NET vehicles have no medical equipment onboard, provide no medical interventions, and are not licensed by the state.</w:t>
      </w:r>
    </w:p>
    <w:p w:rsidR="003F3BF8" w:rsidRDefault="00A350D5" w:rsidP="003F3BF8">
      <w:pPr>
        <w:pStyle w:val="ListParagraph"/>
        <w:numPr>
          <w:ilvl w:val="0"/>
          <w:numId w:val="11"/>
        </w:numPr>
      </w:pPr>
      <w:r>
        <w:t xml:space="preserve">There are many circumstances requiring emergent transport that is not initiated 911. </w:t>
      </w:r>
    </w:p>
    <w:p w:rsidR="00A350D5" w:rsidRDefault="00A350D5" w:rsidP="00A350D5">
      <w:pPr>
        <w:pStyle w:val="ListParagraph"/>
        <w:numPr>
          <w:ilvl w:val="1"/>
          <w:numId w:val="11"/>
        </w:numPr>
      </w:pPr>
      <w:r>
        <w:t>Ex: Moving a high-risk late-term pregnancy patient requiring extensive ongoing monitoring from one hospital to another that has critical equipment/staff for this condition.</w:t>
      </w:r>
    </w:p>
    <w:p w:rsidR="003F3BF8" w:rsidRDefault="00D822AE" w:rsidP="00B16E14">
      <w:pPr>
        <w:pStyle w:val="ListParagraph"/>
        <w:numPr>
          <w:ilvl w:val="1"/>
          <w:numId w:val="11"/>
        </w:numPr>
      </w:pPr>
      <w:r w:rsidRPr="00D822AE">
        <w:rPr>
          <w:i/>
        </w:rPr>
        <w:t xml:space="preserve">Most </w:t>
      </w:r>
      <w:r>
        <w:t>transportation to scheduled physician’s appointments do not require ambulance usage, but again, there are exceptions.</w:t>
      </w:r>
    </w:p>
    <w:p w:rsidR="00B16E14" w:rsidRDefault="00B16E14" w:rsidP="003F3BF8">
      <w:pPr>
        <w:pStyle w:val="ListParagraph"/>
        <w:numPr>
          <w:ilvl w:val="0"/>
          <w:numId w:val="11"/>
        </w:numPr>
      </w:pPr>
      <w:r>
        <w:t>“Emergency” status is defined by how the call comes in to dispatch.</w:t>
      </w:r>
    </w:p>
    <w:p w:rsidR="00B16E14" w:rsidRDefault="00B16E14" w:rsidP="00B16E14">
      <w:pPr>
        <w:pStyle w:val="Heading1"/>
      </w:pPr>
      <w:r>
        <w:t>Provider Contracting</w:t>
      </w:r>
    </w:p>
    <w:p w:rsidR="00B16E14" w:rsidRDefault="00B16E14" w:rsidP="00B16E14">
      <w:pPr>
        <w:pStyle w:val="ListParagraph"/>
        <w:numPr>
          <w:ilvl w:val="0"/>
          <w:numId w:val="12"/>
        </w:numPr>
      </w:pPr>
      <w:r>
        <w:t xml:space="preserve">Many provider contracts are geared toward non-emergency transportation </w:t>
      </w:r>
      <w:r w:rsidR="00D94028">
        <w:t>(NET), not ambulance transportation.</w:t>
      </w:r>
    </w:p>
    <w:p w:rsidR="00B16E14" w:rsidRDefault="00B16E14" w:rsidP="00B16E14">
      <w:pPr>
        <w:pStyle w:val="ListParagraph"/>
        <w:numPr>
          <w:ilvl w:val="0"/>
          <w:numId w:val="12"/>
        </w:numPr>
      </w:pPr>
      <w:r>
        <w:t>Government providers of ambulance services have difficulty signing provider contracts.</w:t>
      </w:r>
    </w:p>
    <w:p w:rsidR="006172D9" w:rsidRDefault="006172D9" w:rsidP="006172D9">
      <w:pPr>
        <w:pStyle w:val="ListParagraph"/>
        <w:numPr>
          <w:ilvl w:val="0"/>
          <w:numId w:val="12"/>
        </w:numPr>
      </w:pPr>
      <w:r>
        <w:t>Per David Rogers, the existing AHCA handbooks are out-of-date run in parallel to provider contracts, and the contracts supersede the handbooks where they differ.</w:t>
      </w:r>
    </w:p>
    <w:p w:rsidR="008F75C1" w:rsidRDefault="003F3BF8" w:rsidP="003F3BF8">
      <w:pPr>
        <w:pStyle w:val="Heading1"/>
      </w:pPr>
      <w:r w:rsidRPr="003F3BF8">
        <w:t>Certificate of Public Convenience and Necessity (COPCN)</w:t>
      </w:r>
      <w:r>
        <w:t xml:space="preserve"> process</w:t>
      </w:r>
    </w:p>
    <w:p w:rsidR="003F3BF8" w:rsidRDefault="003F3BF8" w:rsidP="00066853">
      <w:pPr>
        <w:pStyle w:val="ListParagraph"/>
        <w:numPr>
          <w:ilvl w:val="0"/>
          <w:numId w:val="10"/>
        </w:numPr>
      </w:pPr>
      <w:r>
        <w:t xml:space="preserve">A COPCN is needed for each geographic area in which an ambulance service operates. Generally, an ambulance service needs to be licensed in either the area of pickup OR </w:t>
      </w:r>
      <w:proofErr w:type="spellStart"/>
      <w:r>
        <w:t>dropoff</w:t>
      </w:r>
      <w:proofErr w:type="spellEnd"/>
      <w:r>
        <w:t xml:space="preserve">, but there are exceptions. </w:t>
      </w:r>
    </w:p>
    <w:p w:rsidR="003F3BF8" w:rsidRDefault="003F3BF8" w:rsidP="003F3BF8">
      <w:pPr>
        <w:pStyle w:val="ListParagraph"/>
        <w:numPr>
          <w:ilvl w:val="1"/>
          <w:numId w:val="10"/>
        </w:numPr>
      </w:pPr>
      <w:r>
        <w:t xml:space="preserve">For example, in Pinellas County, by contract only </w:t>
      </w:r>
      <w:proofErr w:type="spellStart"/>
      <w:r>
        <w:t>Sunstar</w:t>
      </w:r>
      <w:proofErr w:type="spellEnd"/>
      <w:r>
        <w:t xml:space="preserve"> is permitted to transport patients.</w:t>
      </w:r>
    </w:p>
    <w:p w:rsidR="003F3BF8" w:rsidRDefault="003F3BF8" w:rsidP="003F3BF8">
      <w:pPr>
        <w:pStyle w:val="ListParagraph"/>
        <w:numPr>
          <w:ilvl w:val="0"/>
          <w:numId w:val="10"/>
        </w:numPr>
      </w:pPr>
      <w:r>
        <w:t>Some brokers and insurers are not familiar with these regulations and routinely call ambulance services to provide transports in violation of the rules.</w:t>
      </w:r>
    </w:p>
    <w:p w:rsidR="00740CB4" w:rsidRDefault="00614E16" w:rsidP="00740CB4">
      <w:pPr>
        <w:pStyle w:val="Heading1"/>
      </w:pPr>
      <w:r>
        <w:t>Health Plan/</w:t>
      </w:r>
      <w:r w:rsidR="00740CB4">
        <w:t xml:space="preserve">Transportation Broker Communication </w:t>
      </w:r>
      <w:r w:rsidR="006172D9">
        <w:t>Issues</w:t>
      </w:r>
    </w:p>
    <w:p w:rsidR="00857D9C" w:rsidRDefault="00C107C6" w:rsidP="00740CB4">
      <w:pPr>
        <w:pStyle w:val="ListParagraph"/>
        <w:numPr>
          <w:ilvl w:val="0"/>
          <w:numId w:val="15"/>
        </w:numPr>
      </w:pPr>
      <w:r>
        <w:t>M</w:t>
      </w:r>
      <w:r w:rsidR="00857D9C">
        <w:t xml:space="preserve">any health plans are delegating </w:t>
      </w:r>
      <w:r>
        <w:t>utilization management (</w:t>
      </w:r>
      <w:r w:rsidR="00857D9C">
        <w:t>UM</w:t>
      </w:r>
      <w:r>
        <w:t>)</w:t>
      </w:r>
      <w:r w:rsidR="00857D9C">
        <w:t xml:space="preserve"> to their vendors (transportation brokers), resulting in communication problems</w:t>
      </w:r>
      <w:r w:rsidR="00614E16">
        <w:t xml:space="preserve"> and delays</w:t>
      </w:r>
      <w:r w:rsidR="00857D9C">
        <w:t xml:space="preserve">. </w:t>
      </w:r>
    </w:p>
    <w:p w:rsidR="00740CB4" w:rsidRDefault="00740CB4" w:rsidP="00740CB4">
      <w:pPr>
        <w:pStyle w:val="ListParagraph"/>
        <w:numPr>
          <w:ilvl w:val="0"/>
          <w:numId w:val="15"/>
        </w:numPr>
      </w:pPr>
      <w:r>
        <w:t>Many brokers seem to close early or be unable to provide authorization for transport outside of normal business hours, despite the requirement that they operate 24/7.</w:t>
      </w:r>
    </w:p>
    <w:p w:rsidR="00857D9C" w:rsidRDefault="00857D9C" w:rsidP="00857D9C">
      <w:pPr>
        <w:pStyle w:val="ListParagraph"/>
        <w:numPr>
          <w:ilvl w:val="1"/>
          <w:numId w:val="15"/>
        </w:numPr>
      </w:pPr>
      <w:r>
        <w:t xml:space="preserve">One broker revealed that in some cases, although they are open 24/7, </w:t>
      </w:r>
      <w:r w:rsidR="00614E16">
        <w:t xml:space="preserve">certain </w:t>
      </w:r>
      <w:r>
        <w:t>health plans require them to call case managers who have left for the day in order to obtain an additional level of authorization, which causes additional delay.</w:t>
      </w:r>
    </w:p>
    <w:p w:rsidR="00503197" w:rsidRDefault="00503197" w:rsidP="00503197">
      <w:pPr>
        <w:pStyle w:val="ListParagraph"/>
        <w:numPr>
          <w:ilvl w:val="0"/>
          <w:numId w:val="15"/>
        </w:numPr>
      </w:pPr>
      <w:r>
        <w:t xml:space="preserve">Health plans and brokers agreed to investigate and evaluate </w:t>
      </w:r>
      <w:r w:rsidR="00F769A8">
        <w:t xml:space="preserve">their </w:t>
      </w:r>
      <w:r>
        <w:t>current</w:t>
      </w:r>
      <w:r w:rsidR="00F769A8">
        <w:t xml:space="preserve"> internal</w:t>
      </w:r>
      <w:r>
        <w:t xml:space="preserve"> processes, then participate in a follow-up meeting.</w:t>
      </w:r>
    </w:p>
    <w:p w:rsidR="00C107C6" w:rsidRDefault="00C107C6" w:rsidP="00C107C6">
      <w:pPr>
        <w:pStyle w:val="Heading1"/>
      </w:pPr>
      <w:r>
        <w:t>Crossover Payments</w:t>
      </w:r>
    </w:p>
    <w:p w:rsidR="00C107C6" w:rsidRDefault="00C107C6" w:rsidP="00C107C6">
      <w:pPr>
        <w:pStyle w:val="ListParagraph"/>
        <w:numPr>
          <w:ilvl w:val="0"/>
          <w:numId w:val="17"/>
        </w:numPr>
      </w:pPr>
      <w:r>
        <w:t xml:space="preserve">Across the board, ambulance services experience extreme difficulty in receiving </w:t>
      </w:r>
      <w:r w:rsidR="001E450F">
        <w:t xml:space="preserve">full </w:t>
      </w:r>
      <w:r>
        <w:t xml:space="preserve">payment for </w:t>
      </w:r>
      <w:r w:rsidR="001E450F">
        <w:t xml:space="preserve">transportation of </w:t>
      </w:r>
      <w:r>
        <w:t>dual-eligible beneficiaries.</w:t>
      </w:r>
    </w:p>
    <w:p w:rsidR="00B16E14" w:rsidRDefault="00B16E14" w:rsidP="00B16E14">
      <w:pPr>
        <w:pStyle w:val="Heading1"/>
      </w:pPr>
      <w:r>
        <w:t>Next Steps</w:t>
      </w:r>
    </w:p>
    <w:p w:rsidR="00B16E14" w:rsidRDefault="00B16E14" w:rsidP="00B16E14">
      <w:pPr>
        <w:pStyle w:val="ListParagraph"/>
        <w:numPr>
          <w:ilvl w:val="0"/>
          <w:numId w:val="13"/>
        </w:numPr>
      </w:pPr>
      <w:r>
        <w:t>The health plans and transportation brokers agreed to look into the ambulance reimbursement issues at their own organizations, review their processes, then participate in an ongoing</w:t>
      </w:r>
      <w:r w:rsidR="00540C91">
        <w:t xml:space="preserve"> dialogue with the FAA and AHCA.</w:t>
      </w:r>
      <w:bookmarkStart w:id="0" w:name="_GoBack"/>
      <w:bookmarkEnd w:id="0"/>
    </w:p>
    <w:p w:rsidR="004125E6" w:rsidRDefault="004125E6" w:rsidP="00B16E14">
      <w:pPr>
        <w:pStyle w:val="ListParagraph"/>
        <w:numPr>
          <w:ilvl w:val="0"/>
          <w:numId w:val="13"/>
        </w:numPr>
      </w:pPr>
      <w:r>
        <w:t>The FAA collected contact information from all individuals present at the meeting, and will disseminate this to the group by the end of December.</w:t>
      </w:r>
    </w:p>
    <w:p w:rsidR="00B16E14" w:rsidRPr="003F3BF8" w:rsidRDefault="00B16E14" w:rsidP="00B16E14">
      <w:pPr>
        <w:pStyle w:val="ListParagraph"/>
        <w:numPr>
          <w:ilvl w:val="0"/>
          <w:numId w:val="13"/>
        </w:numPr>
      </w:pPr>
      <w:r>
        <w:t>A follow-up meeting will be set for the end of January or beginning of February 2016</w:t>
      </w:r>
      <w:r w:rsidR="00893A50">
        <w:t xml:space="preserve"> to continue the discussion.</w:t>
      </w:r>
    </w:p>
    <w:p w:rsidR="003F3BF8" w:rsidRPr="003F3BF8" w:rsidRDefault="003F3BF8" w:rsidP="003F3BF8"/>
    <w:sectPr w:rsidR="003F3BF8" w:rsidRPr="003F3BF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0B4" w:rsidRDefault="006920B4" w:rsidP="006920B4">
      <w:pPr>
        <w:spacing w:after="0" w:line="240" w:lineRule="auto"/>
      </w:pPr>
      <w:r>
        <w:separator/>
      </w:r>
    </w:p>
  </w:endnote>
  <w:endnote w:type="continuationSeparator" w:id="0">
    <w:p w:rsidR="006920B4" w:rsidRDefault="006920B4" w:rsidP="0069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0B4" w:rsidRDefault="006920B4" w:rsidP="006920B4">
      <w:pPr>
        <w:spacing w:after="0" w:line="240" w:lineRule="auto"/>
      </w:pPr>
      <w:r>
        <w:separator/>
      </w:r>
    </w:p>
  </w:footnote>
  <w:footnote w:type="continuationSeparator" w:id="0">
    <w:p w:rsidR="006920B4" w:rsidRDefault="006920B4" w:rsidP="0069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B4" w:rsidRDefault="006920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F70"/>
    <w:multiLevelType w:val="hybridMultilevel"/>
    <w:tmpl w:val="ED3A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E7532"/>
    <w:multiLevelType w:val="multilevel"/>
    <w:tmpl w:val="8A84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97686"/>
    <w:multiLevelType w:val="hybridMultilevel"/>
    <w:tmpl w:val="9D9C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90429"/>
    <w:multiLevelType w:val="hybridMultilevel"/>
    <w:tmpl w:val="F2DA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B3FC0"/>
    <w:multiLevelType w:val="hybridMultilevel"/>
    <w:tmpl w:val="C018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C4407"/>
    <w:multiLevelType w:val="hybridMultilevel"/>
    <w:tmpl w:val="0064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C67E8"/>
    <w:multiLevelType w:val="hybridMultilevel"/>
    <w:tmpl w:val="F272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3593C"/>
    <w:multiLevelType w:val="multilevel"/>
    <w:tmpl w:val="44B0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5E32B6"/>
    <w:multiLevelType w:val="hybridMultilevel"/>
    <w:tmpl w:val="580A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13543"/>
    <w:multiLevelType w:val="hybridMultilevel"/>
    <w:tmpl w:val="00DA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12DEA"/>
    <w:multiLevelType w:val="hybridMultilevel"/>
    <w:tmpl w:val="3182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82988"/>
    <w:multiLevelType w:val="hybridMultilevel"/>
    <w:tmpl w:val="FD8E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C4AE6"/>
    <w:multiLevelType w:val="hybridMultilevel"/>
    <w:tmpl w:val="5D26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B7D58"/>
    <w:multiLevelType w:val="hybridMultilevel"/>
    <w:tmpl w:val="F6DC1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511E3"/>
    <w:multiLevelType w:val="hybridMultilevel"/>
    <w:tmpl w:val="D504A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A2B64"/>
    <w:multiLevelType w:val="hybridMultilevel"/>
    <w:tmpl w:val="C504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4"/>
  </w:num>
  <w:num w:numId="7">
    <w:abstractNumId w:val="2"/>
  </w:num>
  <w:num w:numId="8">
    <w:abstractNumId w:val="5"/>
  </w:num>
  <w:num w:numId="9">
    <w:abstractNumId w:val="15"/>
  </w:num>
  <w:num w:numId="10">
    <w:abstractNumId w:val="14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8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B4"/>
    <w:rsid w:val="000517E5"/>
    <w:rsid w:val="00091249"/>
    <w:rsid w:val="001E450F"/>
    <w:rsid w:val="00207CE9"/>
    <w:rsid w:val="003F3BF8"/>
    <w:rsid w:val="004125E6"/>
    <w:rsid w:val="00426864"/>
    <w:rsid w:val="00490112"/>
    <w:rsid w:val="004F3DB2"/>
    <w:rsid w:val="00503197"/>
    <w:rsid w:val="00540C91"/>
    <w:rsid w:val="00614E16"/>
    <w:rsid w:val="006172D9"/>
    <w:rsid w:val="006920B4"/>
    <w:rsid w:val="00740CB4"/>
    <w:rsid w:val="0077236E"/>
    <w:rsid w:val="00833BB9"/>
    <w:rsid w:val="00843431"/>
    <w:rsid w:val="00857D9C"/>
    <w:rsid w:val="00893A50"/>
    <w:rsid w:val="008F75C1"/>
    <w:rsid w:val="00921F7D"/>
    <w:rsid w:val="009660A3"/>
    <w:rsid w:val="009D6991"/>
    <w:rsid w:val="00A350D5"/>
    <w:rsid w:val="00B16E14"/>
    <w:rsid w:val="00BF2ED8"/>
    <w:rsid w:val="00C06A2F"/>
    <w:rsid w:val="00C107C6"/>
    <w:rsid w:val="00C25832"/>
    <w:rsid w:val="00C8473A"/>
    <w:rsid w:val="00CF76EB"/>
    <w:rsid w:val="00D15E64"/>
    <w:rsid w:val="00D44120"/>
    <w:rsid w:val="00D822AE"/>
    <w:rsid w:val="00D9014A"/>
    <w:rsid w:val="00D94028"/>
    <w:rsid w:val="00E6042E"/>
    <w:rsid w:val="00E71692"/>
    <w:rsid w:val="00E97BFE"/>
    <w:rsid w:val="00F14174"/>
    <w:rsid w:val="00F7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04304D6-DF6C-4802-9DCC-8376992B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F8"/>
  </w:style>
  <w:style w:type="paragraph" w:styleId="Heading1">
    <w:name w:val="heading 1"/>
    <w:basedOn w:val="Normal"/>
    <w:next w:val="Normal"/>
    <w:link w:val="Heading1Char"/>
    <w:uiPriority w:val="9"/>
    <w:qFormat/>
    <w:rsid w:val="003F3BF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BF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3BF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3BF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3BF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3BF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3BF8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3BF8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3BF8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0B4"/>
  </w:style>
  <w:style w:type="paragraph" w:styleId="Footer">
    <w:name w:val="footer"/>
    <w:basedOn w:val="Normal"/>
    <w:link w:val="FooterChar"/>
    <w:uiPriority w:val="99"/>
    <w:unhideWhenUsed/>
    <w:rsid w:val="00692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0B4"/>
  </w:style>
  <w:style w:type="paragraph" w:styleId="ListParagraph">
    <w:name w:val="List Paragraph"/>
    <w:basedOn w:val="Normal"/>
    <w:uiPriority w:val="34"/>
    <w:qFormat/>
    <w:rsid w:val="006920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2ED8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3BF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BF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F3BF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3BF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3BF8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3B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3BF8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3BF8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3BF8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3BF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3BF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F3BF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3BF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3BF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F3BF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F3BF8"/>
    <w:rPr>
      <w:i/>
      <w:iCs/>
      <w:color w:val="auto"/>
    </w:rPr>
  </w:style>
  <w:style w:type="paragraph" w:styleId="NoSpacing">
    <w:name w:val="No Spacing"/>
    <w:uiPriority w:val="1"/>
    <w:qFormat/>
    <w:rsid w:val="003F3BF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F3BF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3BF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3BF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3BF8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F3BF8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F3BF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F3BF8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F3BF8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F3BF8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3BF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84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a.wildapricot.org:443/resources/Documents/Meeting%20Minutes,%20Agendas,%20Rosters/2015.12.15%20-%20AHCA%20MMA%20Slide%20Deck%20-%20David%20Roger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hca.myflorida.com/smm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F59BF4D9F543378603E9E56B1FC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4A30-CF05-4FA2-BD9F-DCB82938F7D1}"/>
      </w:docPartPr>
      <w:docPartBody>
        <w:p w:rsidR="005755E8" w:rsidRDefault="005C426D" w:rsidP="005C426D">
          <w:pPr>
            <w:pStyle w:val="A1F59BF4D9F543378603E9E56B1FC694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6D"/>
    <w:rsid w:val="005755E8"/>
    <w:rsid w:val="005C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6E7DEEE3D8448EA5682BA31BB1888A">
    <w:name w:val="196E7DEEE3D8448EA5682BA31BB1888A"/>
    <w:rsid w:val="005C426D"/>
  </w:style>
  <w:style w:type="paragraph" w:customStyle="1" w:styleId="F912101B87264418AE18595968E859F4">
    <w:name w:val="F912101B87264418AE18595968E859F4"/>
    <w:rsid w:val="005C426D"/>
  </w:style>
  <w:style w:type="paragraph" w:customStyle="1" w:styleId="56F7DD5F728F46F1B6472ACAFB092D69">
    <w:name w:val="56F7DD5F728F46F1B6472ACAFB092D69"/>
    <w:rsid w:val="005C426D"/>
  </w:style>
  <w:style w:type="paragraph" w:customStyle="1" w:styleId="84B6C073CE4F4FF896389F54FF73F84F">
    <w:name w:val="84B6C073CE4F4FF896389F54FF73F84F"/>
    <w:rsid w:val="005C426D"/>
  </w:style>
  <w:style w:type="paragraph" w:customStyle="1" w:styleId="A1F59BF4D9F543378603E9E56B1FC694">
    <w:name w:val="A1F59BF4D9F543378603E9E56B1FC694"/>
    <w:rsid w:val="005C4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4A190-6B77-45D4-BFA4-36C1DFA1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Camas</dc:creator>
  <cp:keywords/>
  <dc:description/>
  <cp:lastModifiedBy>Riordan, Amanda</cp:lastModifiedBy>
  <cp:revision>31</cp:revision>
  <dcterms:created xsi:type="dcterms:W3CDTF">2015-12-21T13:32:00Z</dcterms:created>
  <dcterms:modified xsi:type="dcterms:W3CDTF">2015-12-21T15:59:00Z</dcterms:modified>
</cp:coreProperties>
</file>